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08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«ЕВРОСТРОЙ»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Юркова</w:t>
      </w:r>
      <w:r>
        <w:rPr>
          <w:rFonts w:ascii="Times New Roman" w:eastAsia="Times New Roman" w:hAnsi="Times New Roman" w:cs="Times New Roman"/>
        </w:rPr>
        <w:t xml:space="preserve"> Юрия Станиславовича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Юрков Ю.С.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«ЕВРОСТРОЙ»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ул.</w:t>
      </w:r>
      <w:r>
        <w:rPr>
          <w:rFonts w:ascii="Times New Roman" w:eastAsia="Times New Roman" w:hAnsi="Times New Roman" w:cs="Times New Roman"/>
        </w:rPr>
        <w:t>60 лет Победы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26,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предоставил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Юрков Ю.С.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Юркова</w:t>
      </w:r>
      <w:r>
        <w:rPr>
          <w:rFonts w:ascii="Times New Roman" w:eastAsia="Times New Roman" w:hAnsi="Times New Roman" w:cs="Times New Roman"/>
        </w:rPr>
        <w:t xml:space="preserve"> Ю.С.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Юрков Ю.С.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21.02.2026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Юркова</w:t>
      </w:r>
      <w:r>
        <w:rPr>
          <w:rFonts w:ascii="Times New Roman" w:eastAsia="Times New Roman" w:hAnsi="Times New Roman" w:cs="Times New Roman"/>
        </w:rPr>
        <w:t xml:space="preserve"> Ю.С.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860026200317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02.04.2026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21.02.2026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ООО «ЕВРОСТРОЙ»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Юркова</w:t>
      </w:r>
      <w:r>
        <w:rPr>
          <w:rFonts w:ascii="Times New Roman" w:eastAsia="Times New Roman" w:hAnsi="Times New Roman" w:cs="Times New Roman"/>
        </w:rPr>
        <w:t xml:space="preserve"> Ю.С.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Юрков Ю.С.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«ЕВРОСТРОЙ»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Юркова</w:t>
      </w:r>
      <w:r>
        <w:rPr>
          <w:rFonts w:ascii="Times New Roman" w:eastAsia="Times New Roman" w:hAnsi="Times New Roman" w:cs="Times New Roman"/>
        </w:rPr>
        <w:t xml:space="preserve"> Юрия Станиславовича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797860002042601324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</w:t>
    </w:r>
    <w:r>
      <w:rPr>
        <w:rFonts w:ascii="Times New Roman" w:eastAsia="Times New Roman" w:hAnsi="Times New Roman" w:cs="Times New Roman"/>
      </w:rPr>
      <w:t>317</w:t>
    </w:r>
    <w:r>
      <w:rPr>
        <w:rFonts w:ascii="Times New Roman" w:eastAsia="Times New Roman" w:hAnsi="Times New Roman" w:cs="Times New Roman"/>
      </w:rPr>
      <w:t>-280</w:t>
    </w:r>
    <w:r>
      <w:rPr>
        <w:rFonts w:ascii="Times New Roman" w:eastAsia="Times New Roman" w:hAnsi="Times New Roman" w:cs="Times New Roman"/>
      </w:rPr>
      <w:t>3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